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 Support Operations Brief</w:t>
      </w:r>
    </w:p>
    <w:p>
      <w:r>
        <w:t>Synthetic test file created for the TokenPig SEO landing pages.</w:t>
      </w:r>
    </w:p>
    <w:p>
      <w:pPr>
        <w:pStyle w:val="Heading1"/>
      </w:pPr>
      <w:r>
        <w:t>Objective</w:t>
      </w:r>
    </w:p>
    <w:p>
      <w:pPr>
        <w:pStyle w:val="ListBullet"/>
      </w:pPr>
      <w:r>
        <w:t>Reduce average first-response time</w:t>
      </w:r>
    </w:p>
    <w:p>
      <w:pPr>
        <w:pStyle w:val="ListBullet"/>
      </w:pPr>
      <w:r>
        <w:t>Improve answer consistency</w:t>
      </w:r>
    </w:p>
    <w:p>
      <w:pPr>
        <w:pStyle w:val="ListBullet"/>
      </w:pPr>
      <w:r>
        <w:t>Keep escalation rules visible</w:t>
      </w:r>
    </w:p>
    <w:p>
      <w:pPr>
        <w:pStyle w:val="Heading1"/>
      </w:pPr>
      <w:r>
        <w:t>Current metrics</w:t>
      </w:r>
    </w:p>
    <w:p>
      <w:pPr>
        <w:pStyle w:val="ListBullet"/>
      </w:pPr>
      <w:r>
        <w:t>1,240 tickets per month</w:t>
      </w:r>
    </w:p>
    <w:p>
      <w:pPr>
        <w:pStyle w:val="ListBullet"/>
      </w:pPr>
      <w:r>
        <w:t>18 minute median first response</w:t>
      </w:r>
    </w:p>
    <w:p>
      <w:pPr>
        <w:pStyle w:val="ListBullet"/>
      </w:pPr>
      <w:r>
        <w:t>82% first-contact resolution</w:t>
      </w:r>
    </w:p>
    <w:p>
      <w:pPr>
        <w:pStyle w:val="ListBullet"/>
      </w:pPr>
      <w:r>
        <w:t>4.4/5 customer satisfaction</w:t>
      </w:r>
    </w:p>
    <w:p>
      <w:pPr>
        <w:pStyle w:val="Heading1"/>
      </w:pPr>
      <w:r>
        <w:t>Recommended actions</w:t>
      </w:r>
    </w:p>
    <w:p>
      <w:pPr>
        <w:pStyle w:val="ListBullet"/>
      </w:pPr>
      <w:r>
        <w:t>Create a reviewed knowledge source</w:t>
      </w:r>
    </w:p>
    <w:p>
      <w:pPr>
        <w:pStyle w:val="ListBullet"/>
      </w:pPr>
      <w:r>
        <w:t>Route billing and security issues to specialists</w:t>
      </w:r>
    </w:p>
    <w:p>
      <w:pPr>
        <w:pStyle w:val="ListBullet"/>
      </w:pPr>
      <w:r>
        <w:t>Measure deflection and unresolved-question rate</w:t>
      </w:r>
    </w:p>
    <w:p>
      <w:pPr>
        <w:pStyle w:val="Heading1"/>
      </w:pPr>
      <w:r>
        <w:t>Risks</w:t>
      </w:r>
    </w:p>
    <w:p>
      <w:pPr>
        <w:pStyle w:val="ListBullet"/>
      </w:pPr>
      <w:r>
        <w:t>Outdated source material</w:t>
      </w:r>
    </w:p>
    <w:p>
      <w:pPr>
        <w:pStyle w:val="ListBullet"/>
      </w:pPr>
      <w:r>
        <w:t>Missing access controls</w:t>
      </w:r>
    </w:p>
    <w:p>
      <w:pPr>
        <w:pStyle w:val="ListBullet"/>
      </w:pPr>
      <w:r>
        <w:t>Over-automation of sensitive cases</w:t>
      </w:r>
    </w:p>
    <w:p>
      <w:pPr>
        <w:pStyle w:val="Heading1"/>
      </w:pPr>
      <w:r>
        <w:t>Escalation matrix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Issue</w:t>
            </w:r>
          </w:p>
        </w:tc>
        <w:tc>
          <w:tcPr>
            <w:tcW w:type="dxa" w:w="2880"/>
          </w:tcPr>
          <w:p>
            <w:r>
              <w:t>Owner</w:t>
            </w:r>
          </w:p>
        </w:tc>
        <w:tc>
          <w:tcPr>
            <w:tcW w:type="dxa" w:w="2880"/>
          </w:tcPr>
          <w:p>
            <w:r>
              <w:t>Target</w:t>
            </w:r>
          </w:p>
        </w:tc>
      </w:tr>
      <w:tr>
        <w:tc>
          <w:tcPr>
            <w:tcW w:type="dxa" w:w="2880"/>
          </w:tcPr>
          <w:p>
            <w:r>
              <w:t>Billing dispute</w:t>
            </w:r>
          </w:p>
        </w:tc>
        <w:tc>
          <w:tcPr>
            <w:tcW w:type="dxa" w:w="2880"/>
          </w:tcPr>
          <w:p>
            <w:r>
              <w:t>Finance specialist</w:t>
            </w:r>
          </w:p>
        </w:tc>
        <w:tc>
          <w:tcPr>
            <w:tcW w:type="dxa" w:w="2880"/>
          </w:tcPr>
          <w:p>
            <w:r>
              <w:t>4 hours</w:t>
            </w:r>
          </w:p>
        </w:tc>
      </w:tr>
      <w:tr>
        <w:tc>
          <w:tcPr>
            <w:tcW w:type="dxa" w:w="2880"/>
          </w:tcPr>
          <w:p>
            <w:r>
              <w:t>Security concern</w:t>
            </w:r>
          </w:p>
        </w:tc>
        <w:tc>
          <w:tcPr>
            <w:tcW w:type="dxa" w:w="2880"/>
          </w:tcPr>
          <w:p>
            <w:r>
              <w:t>Security lead</w:t>
            </w:r>
          </w:p>
        </w:tc>
        <w:tc>
          <w:tcPr>
            <w:tcW w:type="dxa" w:w="2880"/>
          </w:tcPr>
          <w:p>
            <w:r>
              <w:t>Immediate</w:t>
            </w:r>
          </w:p>
        </w:tc>
      </w:tr>
      <w:tr>
        <w:tc>
          <w:tcPr>
            <w:tcW w:type="dxa" w:w="2880"/>
          </w:tcPr>
          <w:p>
            <w:r>
              <w:t>Feature question</w:t>
            </w:r>
          </w:p>
        </w:tc>
        <w:tc>
          <w:tcPr>
            <w:tcW w:type="dxa" w:w="2880"/>
          </w:tcPr>
          <w:p>
            <w:r>
              <w:t>Product support</w:t>
            </w:r>
          </w:p>
        </w:tc>
        <w:tc>
          <w:tcPr>
            <w:tcW w:type="dxa" w:w="2880"/>
          </w:tcPr>
          <w:p>
            <w:r>
              <w:t>1 business day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